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688E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Титульний аркуш Повідомлення</w:t>
      </w:r>
      <w:r>
        <w:rPr>
          <w:rFonts w:eastAsia="Times New Roman"/>
          <w:color w:val="000000"/>
        </w:rPr>
        <w:br/>
        <w:t>(Повідомлення про інформацію)</w:t>
      </w:r>
    </w:p>
    <w:tbl>
      <w:tblPr>
        <w:tblW w:w="25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118"/>
      </w:tblGrid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1E688E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"/>
        <w:gridCol w:w="4424"/>
        <w:gridCol w:w="180"/>
        <w:gridCol w:w="821"/>
        <w:gridCol w:w="180"/>
        <w:gridCol w:w="4371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23.04.2020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 реєстрації емітентом електронного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(вихідний реєстраційний номер електронного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eastAsia="Times New Roman"/>
                <w:color w:val="000000"/>
              </w:rPr>
              <w:t xml:space="preserve">26, зареєстрованого в Міністерстві юстиції України 24 грудня 2013 року за № 2180/24712 (із змінами)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Куляша Анатолiй Iванович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</w:tbl>
    <w:p w:rsidR="00000000" w:rsidRDefault="001E688E">
      <w:pPr>
        <w:rPr>
          <w:rFonts w:eastAsia="Times New Roman"/>
          <w:color w:val="000000"/>
        </w:rPr>
      </w:pPr>
    </w:p>
    <w:p w:rsidR="00000000" w:rsidRDefault="001E688E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1E688E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32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E688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Приватне акцiонерне товариство "РIВНЕНСЬКИЙ ЗАВОД НАДМIЦНИХ ЗАЛIЗОБЕТОННИХ КОНСТРУКЦIЙ"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E688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акціонерне товариство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E688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35331, Рівненська обл., с. Городок, вул. Промислова, буд. 1А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E688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Ідентифікаційний код юридичної особи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05505696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E688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 та телефон, факс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(0362) 611567 (0362) 611567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E688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Адреса електронної пошти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rznzbk@emitent.net.ua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E688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</w:t>
            </w:r>
            <w:r>
              <w:rPr>
                <w:rFonts w:eastAsia="Times New Roman"/>
                <w:color w:val="000000"/>
              </w:rPr>
              <w:t>рмаційні послуги на фондовому ринку, особи, яка здійснює оприлюднення регульованої інформації від імені учасника фондового ринку.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ДУ "АРIФРУ"</w:t>
            </w:r>
            <w:r>
              <w:rPr>
                <w:rFonts w:eastAsia="Times New Roman"/>
                <w:color w:val="000000"/>
              </w:rPr>
              <w:br/>
              <w:t>21676262</w:t>
            </w:r>
            <w:r>
              <w:rPr>
                <w:rFonts w:eastAsia="Times New Roman"/>
                <w:color w:val="000000"/>
              </w:rPr>
              <w:br/>
              <w:t xml:space="preserve">УКРАЇНА </w:t>
            </w:r>
            <w:r>
              <w:rPr>
                <w:rFonts w:eastAsia="Times New Roman"/>
                <w:color w:val="000000"/>
              </w:rPr>
              <w:br/>
              <w:t>DR/00001/APA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1E688E">
      <w:pPr>
        <w:rPr>
          <w:rFonts w:eastAsia="Times New Roman"/>
          <w:color w:val="000000"/>
        </w:rPr>
      </w:pPr>
    </w:p>
    <w:p w:rsidR="00000000" w:rsidRDefault="001E688E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10"/>
        <w:gridCol w:w="1611"/>
        <w:gridCol w:w="181"/>
        <w:gridCol w:w="623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Повідомлення розміщено на власному веб-сайті учасника фондового ринку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1E688E">
      <w:pPr>
        <w:rPr>
          <w:rFonts w:eastAsia="Times New Roman"/>
          <w:color w:val="000000"/>
        </w:rPr>
        <w:sectPr w:rsidR="00000000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000000" w:rsidRDefault="001E688E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Відомості про зміну акціонерів, яким належать голосуючі акції, розмір пакета яких стає більшим, меншим або рівним пороговому значенню пакета акцій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2246"/>
        <w:gridCol w:w="2246"/>
        <w:gridCol w:w="5241"/>
        <w:gridCol w:w="2246"/>
        <w:gridCol w:w="2246"/>
      </w:tblGrid>
      <w:tr w:rsidR="00000000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№ з/п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отримання інформації від Центрального депозитарію цінних паперів або акціонера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Прізвище, ім'я, по батькові фізичної особи або найменування юридичної особи власника (власників) акцій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Ідентифікаційний код юридичної особи юридичної особи - резидента або код/номер з торговельного, банківського чи судового реєстру, реєстраційного посвід</w:t>
            </w:r>
            <w:r>
              <w:rPr>
                <w:rFonts w:eastAsia="Times New Roman"/>
                <w:b/>
                <w:bCs/>
                <w:color w:val="000000"/>
              </w:rPr>
              <w:t>чення місцевого органу влади іноземної держави про реєстрацію юридичної особи - нерезидента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Розмір частки акціонера до зміни (у відсотках до статутного капіталу)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Розмір частки акціонера після зміни (у відсотках до статутного капіталу)</w:t>
            </w:r>
          </w:p>
        </w:tc>
      </w:tr>
      <w:tr w:rsidR="0000000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23.04.2020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Дубневич Юрiй Ярославович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49.88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E688E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23.04.2020 р. ПрАТ «РЗНЗБК» отримало реєстр власникiв iменних цiнних паперiв (перелiк акцiонерiв, якi мають право на участь у загальних зборах акцiонерного товариства) складений ПАТ «Нацiональний депозитарiй України» станом на 17.04.2020 р., згiдно з яким </w:t>
            </w:r>
            <w:r>
              <w:rPr>
                <w:rFonts w:eastAsia="Times New Roman"/>
                <w:color w:val="000000"/>
              </w:rPr>
              <w:t>сталися змiни акцiонерiв, яким належать голосуючi акцiї, розмiр пакета яких стає бiльшим, меншим або рiвним пороговому значенню пакета акцiй, а саме:</w:t>
            </w:r>
            <w:r>
              <w:rPr>
                <w:rFonts w:eastAsia="Times New Roman"/>
                <w:color w:val="000000"/>
              </w:rPr>
              <w:br/>
              <w:t>Дубневiч Юрiй Ярославович став власником частки у розмiрi 49,88 %. Статутного капiталу. Вiдбулося пряме на</w:t>
            </w:r>
            <w:r>
              <w:rPr>
                <w:rFonts w:eastAsia="Times New Roman"/>
                <w:color w:val="000000"/>
              </w:rPr>
              <w:t xml:space="preserve">буття права власностi на пакет акцiй, розмiр якого перевищив порогове значення. Розмiр частки власника акцiй до набуття права власностi на пакет акцiй був 0,00% вiд загальної кiлькостi акцiй та 0,00% вiд загальної кiлькостi голосуючих акцiй. Розмiр частки </w:t>
            </w:r>
            <w:r>
              <w:rPr>
                <w:rFonts w:eastAsia="Times New Roman"/>
                <w:color w:val="000000"/>
              </w:rPr>
              <w:t>власника акцiй пiсля набуття права власностi на пакет акцiй складає 49,88 % вiд загальної кiлькостi акцiй та 49,93 % вiд загальної кiлькостi голосуючих акцiй (пiдсумковий пакет голосуючих акцiй). В отриманому Товариством реєстрi власникiв iменних цiнних па</w:t>
            </w:r>
            <w:r>
              <w:rPr>
                <w:rFonts w:eastAsia="Times New Roman"/>
                <w:color w:val="000000"/>
              </w:rPr>
              <w:t>перiв вiдсутня дата, в яку пороговi значення було досягнуто або перетнуто, а також вiдомостi про осiб, якi входять до ланцюга володiння корпоративними правами юридичної особи, через яких особа здiйснює розпорядження акцiями.</w:t>
            </w:r>
          </w:p>
        </w:tc>
      </w:tr>
    </w:tbl>
    <w:p w:rsidR="001E688E" w:rsidRDefault="001E688E">
      <w:pPr>
        <w:rPr>
          <w:rFonts w:eastAsia="Times New Roman"/>
        </w:rPr>
      </w:pPr>
    </w:p>
    <w:sectPr w:rsidR="001E688E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0E3EC5"/>
    <w:rsid w:val="000E3EC5"/>
    <w:rsid w:val="001E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2429</Words>
  <Characters>1385</Characters>
  <Application>Microsoft Office Word</Application>
  <DocSecurity>0</DocSecurity>
  <Lines>11</Lines>
  <Paragraphs>7</Paragraphs>
  <ScaleCrop>false</ScaleCrop>
  <Company>Microsoft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2020-04-23T09:02:00Z</dcterms:created>
  <dcterms:modified xsi:type="dcterms:W3CDTF">2020-04-23T09:02:00Z</dcterms:modified>
</cp:coreProperties>
</file>